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left"/>
        <w:rPr/>
      </w:pPr>
      <w:r w:rsidDel="00000000" w:rsidR="00000000" w:rsidRPr="00000000">
        <w:rPr>
          <w:rtl w:val="0"/>
        </w:rPr>
        <w:t xml:space="preserve">ALLEGATO E - INFORMATIVA SUL TRATTAMENTO DEI DATI</w:t>
      </w:r>
    </w:p>
    <w:p w:rsidR="00000000" w:rsidDel="00000000" w:rsidP="00000000" w:rsidRDefault="00000000" w:rsidRPr="00000000" w14:paraId="00000002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67a5"/>
          <w:sz w:val="22"/>
          <w:szCs w:val="22"/>
          <w:rtl w:val="0"/>
        </w:rPr>
        <w:t xml:space="preserve">Servizi specialistici per la strategia turistica rigenerativa transfrontaliera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/>
      </w:pPr>
      <w:r w:rsidDel="00000000" w:rsidR="00000000" w:rsidRPr="00000000">
        <w:rPr>
          <w:rtl w:val="0"/>
        </w:rPr>
        <w:t xml:space="preserve">1. Titolare</w:t>
      </w:r>
    </w:p>
    <w:p w:rsidR="00000000" w:rsidDel="00000000" w:rsidP="00000000" w:rsidRDefault="00000000" w:rsidRPr="00000000" w14:paraId="00000004">
      <w:pPr>
        <w:rPr>
          <w:highlight w:val="yellow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Fondazione Horcynus Orca, P. IVA 02636810836, Largo Senatore Francesco Arena, 98164 Messina; ema</w:t>
      </w:r>
      <w:r w:rsidDel="00000000" w:rsidR="00000000" w:rsidRPr="00000000">
        <w:rPr>
          <w:rtl w:val="0"/>
        </w:rPr>
        <w:t xml:space="preserve">il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 e contatto privacy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 info@horcynusorca.it;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2. Finalità e base giuridica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I dati sono trattati per gestire la procedura, verificare requisiti e conflitti di interesse, valutare le offerte, stipulare ed eseguire il contratto, adempiere a obblighi fiscali, contabili, di rendicontazione, trasparenza, controllo e audit connessi al Programma. </w:t>
      </w:r>
      <w:r w:rsidDel="00000000" w:rsidR="00000000" w:rsidRPr="00000000">
        <w:rPr>
          <w:rtl w:val="0"/>
        </w:rPr>
        <w:t xml:space="preserve">Il trattamento è effettuato in quanto necessario allo svolgimento della procedura e all’eventuale esecuzione del contratto, nonché per adempiere agli obblighi di legge e agli obblighi connessi al finanziamento e al Programma.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3. Dati trattati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Dati identificativi e di contatto, dati professionali e curriculari, informazioni societarie, fiscali e contributive, dati economici, dichiarazioni su requisiti e conflitti di interesse, firme, documenti di identit</w:t>
      </w:r>
      <w:r w:rsidDel="00000000" w:rsidR="00000000" w:rsidRPr="00000000">
        <w:rPr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 e dati necessari a controlli e audit. Non sono richiesti dati ulteriori o non pertinenti.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4. Conferimento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Il conferimento </w:t>
      </w:r>
      <w:r w:rsidDel="00000000" w:rsidR="00000000" w:rsidRPr="00000000">
        <w:rPr>
          <w:rtl w:val="0"/>
        </w:rPr>
        <w:t xml:space="preserve">è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 necessario per partecipare. Il mancato conferimento dei dati richiesti pu</w:t>
      </w:r>
      <w:r w:rsidDel="00000000" w:rsidR="00000000" w:rsidRPr="00000000">
        <w:rPr>
          <w:rtl w:val="0"/>
        </w:rPr>
        <w:t xml:space="preserve">ò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 impedire l'ammissione, la verifica dei requisiti o la stipula.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rPr/>
      </w:pPr>
      <w:r w:rsidDel="00000000" w:rsidR="00000000" w:rsidRPr="00000000">
        <w:rPr>
          <w:rtl w:val="0"/>
        </w:rPr>
        <w:t xml:space="preserve">5. Destinatari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I dati possono essere comunicati ove necessario e nei limiti delle rispettive competenze, alla commissione di valutazione, a consulenti autorizzati, </w:t>
      </w:r>
      <w:r w:rsidDel="00000000" w:rsidR="00000000" w:rsidRPr="00000000">
        <w:rPr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partner CROSS-HERITAGE, all</w:t>
      </w:r>
      <w:r w:rsidDel="00000000" w:rsidR="00000000" w:rsidRPr="00000000">
        <w:rPr>
          <w:rtl w:val="0"/>
        </w:rPr>
        <w:t xml:space="preserve">’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Autorit</w:t>
      </w:r>
      <w:r w:rsidDel="00000000" w:rsidR="00000000" w:rsidRPr="00000000">
        <w:rPr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 di Gestione, al Segretariato, ai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controllori, a autorit</w:t>
      </w:r>
      <w:r w:rsidDel="00000000" w:rsidR="00000000" w:rsidRPr="00000000">
        <w:rPr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 di audit, Commissione europea, autorit</w:t>
      </w:r>
      <w:r w:rsidDel="00000000" w:rsidR="00000000" w:rsidRPr="00000000">
        <w:rPr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 nazionali e altri soggetti legittimati. I dati possono essere pubblicati nei limiti previsti dalle regole di trasparenza e dal Programma.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rPr/>
      </w:pPr>
      <w:r w:rsidDel="00000000" w:rsidR="00000000" w:rsidRPr="00000000">
        <w:rPr>
          <w:rtl w:val="0"/>
        </w:rPr>
        <w:t xml:space="preserve">6. Modalità, sicurezza e trasferimenti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Il trattamento avviene con strumenti cartacei e digitali, secondo misure adeguate. Eventuali trasferimenti fuori dallo Spazio economico europeo avverranno soltanto con le garanzie previste dal GDPR.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/>
      </w:pPr>
      <w:r w:rsidDel="00000000" w:rsidR="00000000" w:rsidRPr="00000000">
        <w:rPr>
          <w:rtl w:val="0"/>
        </w:rPr>
        <w:t xml:space="preserve">7. Conservazione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I dati saranno conservati per la durata della procedura e del contratto e, successivamente, per il periodo richiesto da norme civili, fiscali, contabili, dal Programma e dagli obblighi di controllo e audit, </w:t>
      </w:r>
      <w:r w:rsidDel="00000000" w:rsidR="00000000" w:rsidRPr="00000000">
        <w:rPr>
          <w:rtl w:val="0"/>
        </w:rPr>
        <w:t xml:space="preserve">nonché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 per la tutela dei diritti del Titolare.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rPr/>
      </w:pPr>
      <w:r w:rsidDel="00000000" w:rsidR="00000000" w:rsidRPr="00000000">
        <w:rPr>
          <w:rtl w:val="0"/>
        </w:rPr>
        <w:t xml:space="preserve">8. Diritti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Gli interessati possono esercitare, nei casi previsti, accesso, rettifica, cancellazione, limitazione, opposizione e portabilit</w:t>
      </w:r>
      <w:r w:rsidDel="00000000" w:rsidR="00000000" w:rsidRPr="00000000">
        <w:rPr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, scrivendo al Titolare. Resta il diritto di proporre reclamo al Garante per la protezione dei dati personali.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rPr/>
      </w:pPr>
      <w:r w:rsidDel="00000000" w:rsidR="00000000" w:rsidRPr="00000000">
        <w:rPr>
          <w:rtl w:val="0"/>
        </w:rPr>
        <w:t xml:space="preserve">9. Processo decisionale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Non sono previste decisioni esclusivamente automatizzate. La valutazione </w:t>
      </w:r>
      <w:r w:rsidDel="00000000" w:rsidR="00000000" w:rsidRPr="00000000">
        <w:rPr>
          <w:rtl w:val="0"/>
        </w:rPr>
        <w:t xml:space="preserve">è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 svolta da persone sulla base dei criteri pubblicati.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La presentazione della domanda di partecipazione, contenente la dichiarazione di presa visione della presente informativa, attesta che l’interessato ne ha ricevuto conoscenza. Non è richiesto un consenso separato quando il trattamento è necessario alla procedura o previsto dalla normativa applicabile.</w:t>
      </w:r>
    </w:p>
    <w:sectPr>
      <w:headerReference r:id="rId7" w:type="default"/>
      <w:footerReference r:id="rId8" w:type="default"/>
      <w:pgSz w:h="16838" w:w="11906" w:orient="portrait"/>
      <w:pgMar w:bottom="1077" w:top="1191" w:left="1247" w:right="1247" w:header="45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9071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d6b78"/>
        <w:sz w:val="16"/>
        <w:szCs w:val="16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976310" cy="5715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7631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tabs>
        <w:tab w:val="center" w:leader="none" w:pos="4680"/>
        <w:tab w:val="right" w:leader="none" w:pos="9360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120" w:line="26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80" w:lineRule="auto"/>
    </w:pPr>
    <w:rPr>
      <w:rFonts w:ascii="Arial" w:cs="Arial" w:eastAsia="Arial" w:hAnsi="Arial"/>
      <w:b w:val="1"/>
      <w:bCs w:val="1"/>
      <w:color w:val="123b5d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220" w:lineRule="auto"/>
    </w:pPr>
    <w:rPr>
      <w:rFonts w:ascii="Arial" w:cs="Arial" w:eastAsia="Arial" w:hAnsi="Arial"/>
      <w:b w:val="1"/>
      <w:bCs w:val="1"/>
      <w:color w:val="0067a5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rial" w:cs="Arial" w:eastAsia="Arial" w:hAnsi="Arial"/>
      <w:b w:val="1"/>
      <w:bCs w:val="1"/>
      <w:color w:val="008c95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160" w:line="240" w:lineRule="auto"/>
    </w:pPr>
    <w:rPr>
      <w:rFonts w:ascii="Arial" w:cs="Arial" w:eastAsia="Arial" w:hAnsi="Arial"/>
      <w:b w:val="1"/>
      <w:bCs w:val="1"/>
      <w:color w:val="123b5d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C+zcVcUHX58K3fT35jBRBIn0Qg==">CgMxLjA4AHIhMV9tUmNMQmZDa3BDY2p4aXplTFVxckpNNmZ1UFVQTENk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